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2022年公开招聘科研成果汇总表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</w:t>
      </w:r>
    </w:p>
    <w:tbl>
      <w:tblPr>
        <w:tblStyle w:val="4"/>
        <w:tblW w:w="1510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34"/>
        <w:gridCol w:w="2241"/>
        <w:gridCol w:w="1771"/>
        <w:gridCol w:w="2042"/>
        <w:gridCol w:w="1446"/>
        <w:gridCol w:w="1464"/>
        <w:gridCol w:w="1355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  目</w:t>
            </w:r>
          </w:p>
        </w:tc>
        <w:tc>
          <w:tcPr>
            <w:tcW w:w="41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论文题目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期刊名称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刊物主办单位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刊物级别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发表时间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作者排名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论文发表</w:t>
            </w:r>
            <w:r>
              <w:rPr>
                <w:rFonts w:hint="eastAsia" w:ascii="仿宋_GB2312" w:eastAsia="仿宋_GB2312"/>
                <w:sz w:val="24"/>
              </w:rPr>
              <w:t>（5000字以上，党报2000字以上）</w:t>
            </w:r>
          </w:p>
        </w:tc>
        <w:tc>
          <w:tcPr>
            <w:tcW w:w="4175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课题研究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（主持）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名称及立项号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课题招标单位</w:t>
            </w:r>
          </w:p>
        </w:tc>
        <w:tc>
          <w:tcPr>
            <w:tcW w:w="38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课题性质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是否结题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1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9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决咨报告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（主持）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决咨报告题目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批示领导及职务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肯定性批示内容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批示时间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23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备注：1.公开发表论文按第一、第二顺序作者7：3比例计分，课题研究和决策参阅只计算主持人或第一顺序作者；</w:t>
      </w:r>
    </w:p>
    <w:p>
      <w:pPr>
        <w:spacing w:line="580" w:lineRule="exact"/>
        <w:ind w:firstLine="700" w:firstLineChars="250"/>
        <w:jc w:val="left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531" w:right="1531" w:bottom="1531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2.科研成果时间段从2017年8月开始计算。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一、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7132053"/>
    <w:rsid w:val="171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2022-05-07T02:11:00Z</dcterms:created>
  <dc:creator>Administrator</dc:creator>
  <cp:lastModifiedBy>Administrator</cp:lastModifiedBy>
  <dcterms:modified xsi:type="dcterms:W3CDTF">2022-05-07T02:12:52Z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C09AD010617A4C8A9C136E403E8388BF</vt:lpwstr>
  </property>
</Properties>
</file>