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line="240" w:lineRule="atLeast"/>
        <w:jc w:val="center"/>
        <w:rPr>
          <w:rFonts w:hint="eastAsia" w:ascii="方正小标宋简体" w:hAnsi="黑体" w:eastAsia="方正小标宋简体"/>
          <w:b w:val="0"/>
          <w:bCs/>
          <w:color w:val="000000"/>
          <w:sz w:val="44"/>
          <w:szCs w:val="36"/>
        </w:rPr>
      </w:pP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36"/>
        </w:rPr>
        <w:t>泸州职业技术学院</w:t>
      </w:r>
    </w:p>
    <w:p>
      <w:pPr>
        <w:widowControl/>
        <w:snapToGrid w:val="0"/>
        <w:spacing w:line="240" w:lineRule="atLeast"/>
        <w:jc w:val="center"/>
        <w:rPr>
          <w:rFonts w:hint="eastAsia" w:ascii="方正小标宋简体" w:hAnsi="黑体" w:eastAsia="方正小标宋简体"/>
          <w:b w:val="0"/>
          <w:bCs/>
          <w:color w:val="000000"/>
          <w:sz w:val="44"/>
          <w:szCs w:val="36"/>
        </w:rPr>
      </w:pP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36"/>
        </w:rPr>
        <w:t>高层次人才引进考核管理办法（</w:t>
      </w: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36"/>
          <w:lang w:eastAsia="zh-CN"/>
        </w:rPr>
        <w:t>节选</w:t>
      </w: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36"/>
        </w:rPr>
        <w:t>）</w:t>
      </w:r>
    </w:p>
    <w:p>
      <w:pPr>
        <w:widowControl/>
        <w:spacing w:line="240" w:lineRule="atLeast"/>
        <w:ind w:firstLine="560" w:firstLineChars="200"/>
        <w:contextualSpacing/>
        <w:rPr>
          <w:rFonts w:hint="eastAsia" w:ascii="方正小标宋简体" w:eastAsia="方正小标宋简体"/>
          <w:color w:val="000000"/>
          <w:sz w:val="28"/>
          <w:szCs w:val="28"/>
        </w:rPr>
      </w:pPr>
      <w:bookmarkStart w:id="0" w:name="_GoBack"/>
      <w:bookmarkEnd w:id="0"/>
    </w:p>
    <w:p>
      <w:pPr>
        <w:spacing w:line="560" w:lineRule="exact"/>
        <w:contextualSpacing/>
        <w:jc w:val="center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第二章  引进范围及条件</w:t>
      </w:r>
    </w:p>
    <w:p>
      <w:pPr>
        <w:spacing w:line="560" w:lineRule="exact"/>
        <w:ind w:firstLine="643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t>第四条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 xml:space="preserve">  采用占编聘用方式全职引进。</w:t>
      </w:r>
    </w:p>
    <w:p>
      <w:pPr>
        <w:spacing w:line="560" w:lineRule="exact"/>
        <w:ind w:firstLine="643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t>第五条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 xml:space="preserve">  基本条件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（一）政治素质好、职业道德优、学术风气正、身体素质良，具有良好的团队合作精神。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（二）符合二级学院学科专业建设发展需求，能够显著促进我校教学、科研水平提升。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 xml:space="preserve">（三）在学术、技术领域具有较高造诣和突出成果，具有博士学位或正高级专业技术职务，或具有技师及以上资格等级的高技能人才或特殊人才。 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（四）不存在相关法律法规限制流动的情形，引进人才年龄</w:t>
      </w:r>
      <w:r>
        <w:rPr>
          <w:rFonts w:hint="eastAsia" w:ascii="仿宋" w:hAnsi="仿宋" w:eastAsia="仿宋" w:cs="Tahoma"/>
          <w:color w:val="auto"/>
          <w:sz w:val="32"/>
          <w:szCs w:val="32"/>
          <w:u w:val="none"/>
        </w:rPr>
        <w:t>一般在50岁以下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。</w:t>
      </w:r>
    </w:p>
    <w:p>
      <w:pPr>
        <w:spacing w:line="560" w:lineRule="exact"/>
        <w:ind w:firstLine="643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u w:val="none"/>
        </w:rPr>
        <w:t>第六条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 xml:space="preserve">  引进对象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（一）杰出人才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 w:cs="Tahoma"/>
          <w:b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“国家海外高层次人才引进计划”顶尖人才、创新长期项目入选者、外国专家项目入选者，“国家高层次人才特殊支持计划”科技创新领军人才、哲学社会科学领军人才、教学名师（含教育部“国家教学名师”）项目入选者；教育部“长江学者奖励计划”讲席学者、特聘教授（含特设岗位）；国家杰出青年科学基金项目获得者，中华青年科技奖获得者，国防科技卓越青年科学基金（简称“卓青”）获得者</w:t>
      </w:r>
      <w:r>
        <w:rPr>
          <w:rFonts w:hint="eastAsia" w:ascii="仿宋" w:hAnsi="仿宋" w:eastAsia="仿宋" w:cs="Tahoma"/>
          <w:color w:val="auto"/>
          <w:sz w:val="32"/>
          <w:szCs w:val="32"/>
          <w:u w:val="none"/>
        </w:rPr>
        <w:t>；国家“万人计划”入选者；国家教学成果奖一等奖及以上获得者（排名第一）；“马克思主义理论研究和建设工程”首席专家；</w:t>
      </w:r>
      <w:r>
        <w:rPr>
          <w:rFonts w:hint="eastAsia" w:ascii="仿宋" w:hAnsi="仿宋" w:eastAsia="仿宋" w:cs="Tahoma"/>
          <w:bCs/>
          <w:color w:val="auto"/>
          <w:sz w:val="32"/>
          <w:szCs w:val="32"/>
          <w:u w:val="none"/>
        </w:rPr>
        <w:t>其他经学术委员会认定符合顶尖人才的人员。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（二）领军人才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中国青年科技奖获得者；“国家海外高层次人才引进计划”青年项目入选者；“国家高层次人才特殊支持计划”青年拔尖人才；“长江学者奖励计划”青年项目入选者；国家优秀青年科学基金项目获得者；“世界技能大赛”获奖者、“全国技术能手”、“中华技能大奖”获得者，各行业“首席技能专家”“特级技能专家”；教育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</w:rPr>
        <w:t>部“高校青年教师奖”人员、“新世纪优秀人才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支持计划”人选；省级学术技术带头人、省级有突出贡献优秀专家、省“千人计划”、“天府万人计划”、“四川杰出创新人才”等省级人才项目入选者；国家级教学团队负责人、省部级科技创新团队带头人；专业技术二级岗人员；其他经学术委员会认定符合杰出人才的人员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（三）拔尖人才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享受省政府特殊津贴专家、省级优秀教学团队带头人、国家级重点专业负责人；省级教学名师、国家级教学成果奖三等奖及以上项目第一完成人、省级教学成果奖一等奖项目第一完成人；省级技能大师、省级技能大师工作室主持人；全国职业技能大赛金奖获得者；其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他经学术委员会认定符合领军人才的人员。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（四）优秀人才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国家级专业教学资源库主持人、国家级精品资源共享课或精品在线开放课程主持人、全国职业院校教师教学能力大赛一等奖及以上获得者（教育部举办）、全国职业技能大赛一等奖及以上获得者（人社部举办）、省级教学成果奖一等奖及以上项目第一完成人；省级重点专业（重点实验室）负责人，专业技术三级岗人员，全国职业技能大赛银奖获得者；业内公认的（上海交通大学ARWU世界大学排行业榜）全球排名前100的高校毕业博士研究生；其他经学术委员会认定符合拔尖人才的人员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（五）骨干人才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专业技术四级岗人员，博士研究生（一般专业），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none"/>
        </w:rPr>
        <w:t>全国职业技能大赛铜奖及以上获奖人员；大中型企业首席技师、特聘技师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；国家级课题主持人；其他经学术委员会认定符合骨干人才的人员。</w:t>
      </w:r>
    </w:p>
    <w:p>
      <w:pPr>
        <w:spacing w:line="560" w:lineRule="exact"/>
        <w:contextualSpacing/>
        <w:jc w:val="center"/>
        <w:rPr>
          <w:rFonts w:hint="eastAsia" w:ascii="仿宋" w:hAnsi="仿宋" w:eastAsia="仿宋"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第三章  引进待遇</w:t>
      </w:r>
    </w:p>
    <w:p>
      <w:pPr>
        <w:spacing w:line="560" w:lineRule="exact"/>
        <w:ind w:firstLine="643" w:firstLineChars="200"/>
        <w:contextualSpacing/>
        <w:rPr>
          <w:rFonts w:hint="eastAsia" w:ascii="仿宋" w:hAnsi="仿宋" w:eastAsia="仿宋"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  <w:u w:val="none"/>
        </w:rPr>
        <w:t>第七条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none"/>
        </w:rPr>
        <w:t xml:space="preserve">  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引进人才待遇。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597"/>
        <w:gridCol w:w="5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  <w:t>序号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  <w:t>人才类别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lang w:eastAsia="zh-CN"/>
              </w:rPr>
              <w:t>杰出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人才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1.提供125m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校内有产权商品房1套、安家补助50万元；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2.科研启动经费：理工类80-100万元、人文社科类40-60万元；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3.年薪酬50万元以上。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lang w:eastAsia="zh-CN"/>
              </w:rPr>
              <w:t>领军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人才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1.提供125m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校内有产权商品房1套、安家补助10万元；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2.科研启动经费：理工类50-60万元、人文社科类30-40万元；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3.年薪酬45万元以上。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lang w:eastAsia="zh-CN"/>
              </w:rPr>
              <w:t>拔尖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人才</w:t>
            </w:r>
          </w:p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</w:p>
        </w:tc>
        <w:tc>
          <w:tcPr>
            <w:tcW w:w="652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1.提供110m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校内有产权商品房1套；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2.科研启动经费：理工类40-50万元、人文社科类20-30万元；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3.年薪酬3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-40万元。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36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4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lang w:eastAsia="zh-CN"/>
              </w:rPr>
              <w:t>优秀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人才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1.提供100m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校内有产权商品房1套；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2.科研启动经费：理工类30-40万元、人文社科类20-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25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3.年薪酬3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0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-35万元。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5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骨干人才</w:t>
            </w:r>
          </w:p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（A类）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1.提供90m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校内有产权商品房1套；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2.科研启动经费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15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-2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0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3.年薪酬2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-30万元。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骨干人才</w:t>
            </w:r>
          </w:p>
          <w:p>
            <w:pPr>
              <w:spacing w:line="380" w:lineRule="exact"/>
              <w:contextualSpacing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（B类）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1.40m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校内有产权商品房1套；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2.科研启动经费</w:t>
            </w:r>
            <w:r>
              <w:rPr>
                <w:rFonts w:ascii="仿宋" w:hAnsi="仿宋" w:eastAsia="仿宋"/>
                <w:bCs/>
                <w:color w:val="auto"/>
                <w:sz w:val="24"/>
                <w:u w:val="none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0-15万元；</w:t>
            </w:r>
          </w:p>
          <w:p>
            <w:pPr>
              <w:spacing w:line="380" w:lineRule="exact"/>
              <w:ind w:firstLine="480" w:firstLineChars="200"/>
              <w:contextualSpacing/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u w:val="none"/>
              </w:rPr>
              <w:t>3.年薪酬20-25万元。</w:t>
            </w:r>
          </w:p>
        </w:tc>
      </w:tr>
    </w:tbl>
    <w:p>
      <w:pPr>
        <w:rPr>
          <w:color w:val="auto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NWNhZjI3OTVlMjM2MDFlNTk5ZWNiYzUxMTliZWQifQ=="/>
  </w:docVars>
  <w:rsids>
    <w:rsidRoot w:val="5B24705E"/>
    <w:rsid w:val="236B6244"/>
    <w:rsid w:val="26A527B9"/>
    <w:rsid w:val="445664B5"/>
    <w:rsid w:val="5B2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10395</Words>
  <Characters>10640</Characters>
  <Lines>0</Lines>
  <Paragraphs>0</Paragraphs>
  <TotalTime>1</TotalTime>
  <ScaleCrop>false</ScaleCrop>
  <LinksUpToDate>false</LinksUpToDate>
  <CharactersWithSpaces>10696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2022-04-01T01:45:00Z</dcterms:created>
  <dc:creator>王春春yan</dc:creator>
  <cp:lastModifiedBy>小倩</cp:lastModifiedBy>
  <cp:lastPrinted>2022-06-22T03:08:20Z</cp:lastPrinted>
  <dcterms:modified xsi:type="dcterms:W3CDTF">2022-06-22T03:12:34Z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130915BE0E1548408CC68D044DAF0092</vt:lpwstr>
  </property>
</Properties>
</file>