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6" w:lineRule="exact"/>
        <w:ind w:left="0" w:right="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附件4：</w:t>
      </w:r>
    </w:p>
    <w:p>
      <w:pPr>
        <w:keepNext w:val="0"/>
        <w:keepLines w:val="0"/>
        <w:widowControl/>
        <w:suppressLineNumbers w:val="0"/>
        <w:spacing w:before="0" w:beforeAutospacing="0" w:after="0" w:afterAutospacing="0" w:line="576" w:lineRule="exact"/>
        <w:ind w:left="0" w:right="0"/>
        <w:jc w:val="center"/>
        <w:rPr>
          <w:rFonts w:hint="eastAsia" w:ascii="方正小标宋简体" w:hAnsi="方正小标宋简体" w:eastAsia="方正小标宋简体" w:cs="方正小标宋简体"/>
          <w:sz w:val="44"/>
          <w:szCs w:val="44"/>
          <w:lang w:val="en-US"/>
        </w:rPr>
      </w:pPr>
      <w:bookmarkStart w:id="0" w:name="_GoBack"/>
      <w:r>
        <w:rPr>
          <w:rFonts w:hint="eastAsia" w:ascii="方正小标宋简体" w:hAnsi="方正小标宋简体" w:eastAsia="方正小标宋简体" w:cs="方正小标宋简体"/>
          <w:kern w:val="2"/>
          <w:sz w:val="44"/>
          <w:szCs w:val="44"/>
          <w:lang w:val="en-US" w:eastAsia="zh-CN" w:bidi="ar"/>
        </w:rPr>
        <w:t>天津市食品安全检测技术研究院简介</w:t>
      </w:r>
    </w:p>
    <w:bookmarkEnd w:id="0"/>
    <w:p>
      <w:pPr>
        <w:keepNext w:val="0"/>
        <w:keepLines w:val="0"/>
        <w:widowControl/>
        <w:suppressLineNumbers w:val="0"/>
        <w:spacing w:before="0" w:beforeAutospacing="0" w:after="0" w:afterAutospacing="0" w:line="576" w:lineRule="exact"/>
        <w:ind w:left="0" w:right="0" w:firstLine="412" w:firstLineChars="200"/>
        <w:jc w:val="left"/>
        <w:rPr>
          <w:rFonts w:hint="eastAsia" w:ascii="仿宋_GB2312" w:hAnsi="仿宋_GB2312" w:eastAsia="仿宋_GB2312" w:cs="仿宋_GB2312"/>
          <w:szCs w:val="32"/>
          <w:lang w:val="en-US"/>
        </w:rPr>
      </w:pP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天津市食品安全检测技术研究院（以下简称“天津市食检院”）隶属于天津市市场监督管理委员会，为公益二类事业单位，系天津市唯一省级食品安全检验检测科研技术机构，同时也是国家加工食品质量检验检测中心依托单位，承担全市食品（含食品添加剂、保健食品、粮油）及食品相关产品的质量检测、生产环境洁净检测、技术服务及有关科研工作。</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天津市食检院致力于服务政府监管、产业发展和社会民生，承担国家市场监督管理总局冷冻饮品和速冻食品抽检监测牵头单位工作、中国焙烤食品糖制品工业协会冷冻饮品专业委员会常务理事单位日常工作，同时也是国家市场监督管理总局本级食品及食用农产品承检机构、食品复检机构、国家和天津市中小企业公共服务示范平台、高新技术企业，设有博士后科研工作站。</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天津市食检院自成立以来，坚持“夯实基础、提升能力、科学发展”的工作方针，通过省级资质认定评审考核，取得CMA资质；通过农产品质量安全检测机构评审考核，取得CATL资质；通过中国合格评定国家认可委员会评审考核，取得CNAS资质。目前检验能力已涵盖食品、保健食品、农产品、食品添加剂、饲料、洁净室环境、消毒餐（饮）具等4426余项参数，检验检测范围覆盖食品生产许可的所有品类，具备对农兽药残留、污染物、营养成分、食品添加剂、非法添加物、微生物、物源性成分鉴别、转基因食品等进行定性定量检测的能力。</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天津市食检院实验室建筑面积近8784平方米，拥有液质联用仪、气质联用仪、液相色谱－电感耦合等离子体质谱联用仪、微生物质谱鉴定系统、同位素质谱仪、多通道基因杂交系统以及微生物快速测定系统等在内的共459台（套）设备，原值10408万元，能够高质量保障政府监督抽检、风险监测等任务，同时为食品及食品相关生产企业、经营企业和消费者提供全方位技术服务。</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天津市食检院现有员工154名，其中专业技术人员占比90%以上；中高级专业技术职称79人，占全院51%；本硕博学历学位138人（其中博士4人，硕士42人），占全院90%。现有实验室资质认定评审员11名、食品审查员28名，天津市特殊支持计划高层次创新团队1个，多名专业技术人员担任食品安全国家标准审评委员会委员、国家卫生城市技术评审专家、国家食品安全城市技术评审专家、婴配奶粉生产企业体系检查员、天津市食品安全专家委员会委员、北京市食品安全专家委员会委员、健康天津行动促进委员会专家委员会委员、天津市食品安全企业标准审评委员、天津商业大学、天津农学院、天津理工大学硕士生导师等职务。</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五年间，天津市食检院共承担食品安全国家标准制（修）订项目7项，行业、团体标准9项，国家市场监管总局科技项目9项、天津市科技局项目3项（包括天津市高层次创新创业团队项目1项和天津市重点研发计划项目2项）、天津市市场监管委科研项目28项，天津市市场监管委重点调研课题4项。发表SCI、EI、中文核心以上期刊论文60篇。已授权专利及软件著作权等30项。</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2020年，天津市食检院获得天津市人民政府颁发的“民族团结进步模范集体”称号；同年，获得天津市扶贫协作和支援合作工作领导小组办公室颁发的“天津市社会力量参与脱贫攻坚助力挂牌督战”荣誉证书；2021年，获得国务院食品安全委员会颁发的“2020年度全国食品安全工作先进集体”称号。</w:t>
      </w:r>
    </w:p>
    <w:p>
      <w:pPr>
        <w:keepNext w:val="0"/>
        <w:keepLines w:val="0"/>
        <w:widowControl/>
        <w:suppressLineNumbers w:val="0"/>
        <w:spacing w:before="0" w:beforeAutospacing="0" w:after="0" w:afterAutospacing="0" w:line="576" w:lineRule="exact"/>
        <w:ind w:left="0" w:right="0" w:firstLine="631"/>
        <w:jc w:val="left"/>
        <w:rPr>
          <w:rFonts w:hint="eastAsia" w:ascii="仿宋_GB2312" w:eastAsia="仿宋_GB2312" w:cs="仿宋_GB2312"/>
          <w:szCs w:val="32"/>
          <w:lang w:val="en-US"/>
        </w:rPr>
      </w:pPr>
      <w:r>
        <w:rPr>
          <w:rFonts w:hint="eastAsia" w:ascii="仿宋_GB2312" w:hAnsi="Calibri" w:eastAsia="仿宋_GB2312" w:cs="仿宋_GB2312"/>
          <w:kern w:val="2"/>
          <w:sz w:val="32"/>
          <w:szCs w:val="32"/>
          <w:lang w:val="en-US" w:eastAsia="zh-CN" w:bidi="ar"/>
        </w:rPr>
        <w:t>放眼未来，天津市食检院将秉承“质量立院、科研强院、人才兴院、创新活院”的发展理念，科学推动“十四五”事业发展规划，坚持以建设“国内一流”食品安全检验检测机构为引领，全力实施人才队伍专业化建设等九项工程，为高层次人才提供专业领域科研及项目申报的广阔发展平台和激励政策，面向全球招纳贤才良者，携手专家技术团队共同打造食品安全检验检测技术平台、食品安全风险预警和应急处置平台、食品安全科技创新研究平台、服务食品产业技术平台和食品安全民生和谐促进服务平台等“五大平台”，科学构建新发展格局，推动高质量发展，恪守初心、履职尽责，守护人民群众舌尖上的安全。</w:t>
      </w:r>
    </w:p>
    <w:p/>
    <w:sectPr>
      <w:pgSz w:w="11906" w:h="16838"/>
      <w:pgMar w:top="2098" w:right="1474" w:bottom="1984" w:left="1587" w:header="851" w:footer="992" w:gutter="0"/>
      <w:paperSrc/>
      <w:pgNumType w:fmt="numberInDash"/>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仿宋_GB2312">
    <w:altName w:val="@黑体"/>
    <w:panose1 w:val="00000000000000000000"/>
    <w:charset w:val="86"/>
    <w:family w:val="auto"/>
    <w:pitch w:val="default"/>
    <w:sig w:usb0="00000001" w:usb1="080E0000" w:usb2="00000000" w:usb3="00000000" w:csb0="00040000" w:csb1="00000000"/>
  </w:font>
  <w:font w:name="方正小标宋简体">
    <w:altName w:val="Microsoft YaHei UI"/>
    <w:panose1 w:val="00000000000000000000"/>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DD9F1"/>
    <w:multiLevelType w:val="singleLevel"/>
    <w:tmpl w:val="E78DD9F1"/>
    <w:lvl w:ilvl="0" w:tentative="0">
      <w:start w:val="1"/>
      <w:numFmt w:val="chineseCounting"/>
      <w:pStyle w:val="5"/>
      <w:suff w:val="nothing"/>
      <w:lvlText w:val="%1、"/>
      <w:lvlJc w:val="left"/>
      <w:rPr>
        <w:rFonts w:hint="eastAsia"/>
      </w:rPr>
    </w:lvl>
  </w:abstractNum>
  <w:abstractNum w:abstractNumId="1">
    <w:nsid w:val="73D4D635"/>
    <w:multiLevelType w:val="singleLevel"/>
    <w:tmpl w:val="73D4D635"/>
    <w:lvl w:ilvl="0" w:tentative="0">
      <w:start w:val="1"/>
      <w:numFmt w:val="chineseCounting"/>
      <w:pStyle w:val="6"/>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78864613"/>
    <w:rsid w:val="5F5930E0"/>
    <w:rsid w:val="65CC35E3"/>
    <w:rsid w:val="71A8059E"/>
    <w:rsid w:val="7886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4">
    <w:name w:val="标题模板"/>
    <w:basedOn w:val="1"/>
    <w:qFormat/>
    <w:uiPriority w:val="0"/>
    <w:pPr>
      <w:spacing w:after="50" w:afterLines="50" w:line="360" w:lineRule="auto"/>
      <w:jc w:val="center"/>
    </w:pPr>
    <w:rPr>
      <w:rFonts w:hint="eastAsia" w:ascii="黑体" w:hAnsi="黑体" w:eastAsia="黑体" w:cs="黑体"/>
      <w:b/>
      <w:bCs/>
      <w:sz w:val="28"/>
      <w:szCs w:val="28"/>
    </w:rPr>
  </w:style>
  <w:style w:type="paragraph" w:customStyle="1" w:styleId="5">
    <w:name w:val="一级标题"/>
    <w:basedOn w:val="1"/>
    <w:qFormat/>
    <w:uiPriority w:val="0"/>
    <w:pPr>
      <w:numPr>
        <w:ilvl w:val="0"/>
        <w:numId w:val="1"/>
      </w:numPr>
      <w:spacing w:before="50" w:beforeLines="50" w:line="360" w:lineRule="auto"/>
    </w:pPr>
    <w:rPr>
      <w:rFonts w:hint="eastAsia" w:ascii="黑体" w:hAnsi="黑体" w:eastAsia="黑体" w:cs="黑体"/>
      <w:b/>
      <w:bCs/>
      <w:sz w:val="24"/>
    </w:rPr>
  </w:style>
  <w:style w:type="paragraph" w:customStyle="1" w:styleId="6">
    <w:name w:val="二级标题"/>
    <w:basedOn w:val="1"/>
    <w:uiPriority w:val="0"/>
    <w:pPr>
      <w:numPr>
        <w:ilvl w:val="0"/>
        <w:numId w:val="2"/>
      </w:numPr>
      <w:spacing w:before="50" w:beforeLines="50" w:line="360" w:lineRule="auto"/>
    </w:pPr>
    <w:rPr>
      <w:rFonts w:hint="eastAsia" w:ascii="黑体" w:hAnsi="黑体" w:eastAsia="黑体" w:cs="黑体"/>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2022-10-21T09:42:00Z</dcterms:created>
  <dc:creator>糖水</dc:creator>
  <cp:lastModifiedBy>糖水</cp:lastModifiedBy>
  <dcterms:modified xsi:type="dcterms:W3CDTF">2022-10-21T09:42:32Z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698F7E051CD14917A234076D0C4AC483</vt:lpwstr>
  </property>
</Properties>
</file>