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/>
        <w:ind w:firstLine="0"/>
        <w:jc w:val="left"/>
        <w:rPr>
          <w:rFonts w:hint="default"/>
          <w:b/>
          <w:sz w:val="21"/>
          <w:szCs w:val="21"/>
          <w:lang w:val="en-US" w:eastAsia="zh-CN"/>
        </w:rPr>
      </w:pPr>
      <w:r>
        <w:rPr>
          <w:rFonts w:hint="eastAsia"/>
          <w:b/>
          <w:sz w:val="21"/>
          <w:szCs w:val="21"/>
          <w:lang w:eastAsia="zh-CN"/>
        </w:rPr>
        <w:t>附件</w:t>
      </w:r>
      <w:r>
        <w:rPr>
          <w:rFonts w:hint="eastAsia"/>
          <w:b/>
          <w:sz w:val="21"/>
          <w:szCs w:val="21"/>
          <w:lang w:val="en-US" w:eastAsia="zh-CN"/>
        </w:rPr>
        <w:t>1：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泸州职业技术学院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高层次人才引进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类别及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待遇</w:t>
      </w:r>
    </w:p>
    <w:tbl>
      <w:tblPr>
        <w:tblStyle w:val="7"/>
        <w:tblW w:w="14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  <w:gridCol w:w="480"/>
        <w:gridCol w:w="1275"/>
        <w:gridCol w:w="450"/>
        <w:gridCol w:w="1380"/>
        <w:gridCol w:w="100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5" w:type="dxa"/>
            <w:vMerge w:val="restart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人才类别</w:t>
            </w:r>
          </w:p>
        </w:tc>
        <w:tc>
          <w:tcPr>
            <w:tcW w:w="6807" w:type="dxa"/>
            <w:gridSpan w:val="6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引进待遇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215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购房</w:t>
            </w:r>
          </w:p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补贴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安家</w:t>
            </w:r>
          </w:p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补助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科研</w:t>
            </w:r>
          </w:p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启动金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年薪</w:t>
            </w:r>
          </w:p>
        </w:tc>
        <w:tc>
          <w:tcPr>
            <w:tcW w:w="2222" w:type="dxa"/>
            <w:vAlign w:val="center"/>
          </w:tcPr>
          <w:p>
            <w:pPr>
              <w:pStyle w:val="9"/>
              <w:spacing w:before="0" w:beforeAutospacing="0" w:after="0" w:afterAutospacing="0"/>
              <w:ind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5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 xml:space="preserve">第一类 </w:t>
            </w:r>
            <w:r>
              <w:rPr>
                <w:rFonts w:hint="eastAsia" w:ascii="仿宋" w:hAnsi="仿宋" w:eastAsia="仿宋"/>
                <w:b/>
                <w:color w:val="auto"/>
                <w:lang w:eastAsia="zh-CN"/>
              </w:rPr>
              <w:t>杰出</w:t>
            </w: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“国家海外高层次人才引进计划”顶尖人才、创新长期项目入选者、外国专家项目入选者，“国家高层次人才特殊支持计划”科技创新领军人才、哲学社会科学领军人才、教学名师（含教育部“国家教学名师”）项目入选者；教育部“长江学者奖励计划”讲席学者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；国家杰出青年科学基金项目获得者，中华青年科技奖获得者，国防科技卓越青年科学基金（简称“卓青”）获得者；</w:t>
            </w: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  <w:lang w:eastAsia="zh-CN"/>
              </w:rPr>
              <w:t>国家“万人计划”入选者；</w:t>
            </w: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国家教学成果奖一等奖及以上获得者（排名第一）；“马克思主义理论研究和建设工程”首席专家；其他经学术委员会认定符合顶尖人才的人员。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contextualSpacing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</w:rPr>
              <w:t>80-100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</w:rPr>
              <w:t>40-60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color w:val="auto"/>
                <w:kern w:val="2"/>
                <w:sz w:val="21"/>
                <w:szCs w:val="21"/>
              </w:rPr>
              <w:t>50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</w:rPr>
              <w:t>以上</w:t>
            </w:r>
          </w:p>
        </w:tc>
        <w:tc>
          <w:tcPr>
            <w:tcW w:w="2222" w:type="dxa"/>
            <w:vMerge w:val="restart"/>
          </w:tcPr>
          <w:p>
            <w:pPr>
              <w:pStyle w:val="9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1.大力引进35周岁以下应届博士，可适度降低考核。</w:t>
            </w:r>
          </w:p>
          <w:p>
            <w:pPr>
              <w:pStyle w:val="9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2.协助解决配偶工作。配偶学历为本科，在机关事业单位有正式工作者，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</w:rPr>
              <w:t>且符合泸州市人事政策的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可协助调到相应部门工作；无正式工作单位，特别优秀者可参照校内事业编制人员聘用。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配偶为硕士研究生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</w:rPr>
              <w:t>以上学历且符合泸州市人事政策的，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eastAsia="zh-CN"/>
              </w:rPr>
              <w:t>特别优秀者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</w:rPr>
              <w:t>可办理事业单位入编聘用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  <w:p>
            <w:pPr>
              <w:pStyle w:val="9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eastAsia" w:ascii="仿宋" w:hAnsi="仿宋" w:eastAsia="仿宋" w:cs="Times New Roman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3.协助解决</w:t>
            </w: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</w:rPr>
              <w:t>子女入学等方面帮助。</w:t>
            </w:r>
          </w:p>
          <w:p>
            <w:pPr>
              <w:pStyle w:val="9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default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1"/>
                <w:szCs w:val="21"/>
                <w:lang w:val="en-US" w:eastAsia="zh-CN"/>
              </w:rPr>
              <w:t>4.以2人以上的团队方式引进，引进待遇可“一事一议”、“一人一策”。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5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 xml:space="preserve">第二类 </w:t>
            </w: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  <w:lang w:eastAsia="zh-CN"/>
              </w:rPr>
              <w:t>领军</w:t>
            </w: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中国青年科技奖获得者；“国家海外高层次人才引进计划”青年项目入选者；“国家高层次人才特殊支持计划”青年拔尖人才；“长江学者奖励计划”青年项目入选者；国家优秀青年科学基金项目获得者；“世界技能大赛”获奖者、“全国技术能手”、“中华技能大奖”获得者，各行业“首席技能专家”“特级技能专家”；教育部“高校青年教师奖”人员、“新世纪优秀人才支持计划”人选；省级学术技术带头人、省级有突出贡献优秀专家、省“千人计划”、“天府万人计划”、“四川杰出创新人才”等省级人才项目入选者；国家级教学团队负责人、省部级科技创新团队带头人；专业技术二级岗人员；其他经学术委员会认定符合杰出人才的人员。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50-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</w:rPr>
              <w:t>30-40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45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以上</w:t>
            </w:r>
          </w:p>
        </w:tc>
        <w:tc>
          <w:tcPr>
            <w:tcW w:w="2222" w:type="dxa"/>
            <w:vMerge w:val="continue"/>
          </w:tcPr>
          <w:p>
            <w:pPr>
              <w:pStyle w:val="9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5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第三类 拔尖人才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color w:val="auto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  <w:t>享受省政府特殊津贴专家、省级优秀教学团队带头人、国家级重点专业负责人；省级教学名师、国家级教学成果奖三等奖及以上项目第一完成人、省级教学成果奖一等奖项目第一完成人；省级技能大师、省级技能大师工作室主持人；全国职业技能大赛金奖获得者；其他经学术委员会认定符合领军人才的人员。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40-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20-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35-40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</w:pPr>
          </w:p>
        </w:tc>
        <w:tc>
          <w:tcPr>
            <w:tcW w:w="2222" w:type="dxa"/>
            <w:vMerge w:val="continue"/>
          </w:tcPr>
          <w:p>
            <w:pPr>
              <w:pStyle w:val="9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5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第四类 优秀人才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/>
                <w:b/>
                <w:color w:val="auto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国家级专业教学资源库主持人、国家级精品资源共享课或精品在线开放课程主持人、全国职业院校教师教学能力大赛一等奖及以上获得者（教育部举办）、全国职业技能大赛一等奖及以上获得者（人社部举办）、省级教学成果奖一等奖及以上项目第一完成人；省级重点专业（重点实验室）负责人，专业技术三级岗人员，全国职业技能大赛银奖获得者；业内公认的（上海交通大学ARWU世界大学排行业榜）全球排名前100的高校毕业博士研究生；其他经学术委员会认定符合拔尖人才的人员。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100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套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理工类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30-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Times New Roman"/>
                <w:b/>
                <w:kern w:val="2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eastAsia="zh-CN"/>
              </w:rPr>
            </w:pPr>
          </w:p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</w:rPr>
              <w:t>人文社科类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20-25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30-35</w:t>
            </w: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万元</w:t>
            </w:r>
          </w:p>
        </w:tc>
        <w:tc>
          <w:tcPr>
            <w:tcW w:w="2222" w:type="dxa"/>
            <w:vMerge w:val="continue"/>
          </w:tcPr>
          <w:p>
            <w:pPr>
              <w:pStyle w:val="9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5" w:type="dxa"/>
            <w:vMerge w:val="restart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auto"/>
              </w:rPr>
              <w:t>第五类 骨干人才</w:t>
            </w:r>
          </w:p>
          <w:p>
            <w:pPr>
              <w:ind w:firstLine="422" w:firstLineChars="200"/>
              <w:contextualSpacing/>
              <w:rPr>
                <w:rFonts w:hint="eastAsia" w:ascii="仿宋" w:hAnsi="仿宋" w:eastAsia="仿宋" w:cs="Times New Roman"/>
                <w:color w:val="auto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Cs w:val="21"/>
              </w:rPr>
              <w:t>专业技术四级岗人员，博士研究生（一般专业），全国职业技能大赛铜奖及以上获奖人员；大中型企业首席技师、特聘技师；国家级课题主持人；其他经学术委员会认定符合骨干人才的人员。</w:t>
            </w:r>
          </w:p>
        </w:tc>
        <w:tc>
          <w:tcPr>
            <w:tcW w:w="480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A</w:t>
            </w:r>
          </w:p>
          <w:p>
            <w:pPr>
              <w:contextualSpacing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类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</w:t>
            </w: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0m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校内有产权商品房1套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80" w:type="dxa"/>
            <w:vAlign w:val="center"/>
          </w:tcPr>
          <w:p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15-20万元</w:t>
            </w: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  <w:t>25-30万元</w:t>
            </w:r>
          </w:p>
        </w:tc>
        <w:tc>
          <w:tcPr>
            <w:tcW w:w="2222" w:type="dxa"/>
            <w:vMerge w:val="restart"/>
          </w:tcPr>
          <w:p>
            <w:pPr>
              <w:pStyle w:val="9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15" w:type="dxa"/>
            <w:vMerge w:val="continue"/>
            <w:vAlign w:val="center"/>
          </w:tcPr>
          <w:p>
            <w:pPr>
              <w:ind w:firstLine="422" w:firstLineChars="200"/>
              <w:contextualSpacing/>
              <w:rPr>
                <w:rFonts w:hint="eastAsia" w:ascii="仿宋" w:hAnsi="仿宋" w:eastAsia="仿宋"/>
                <w:b/>
              </w:rPr>
            </w:pPr>
          </w:p>
        </w:tc>
        <w:tc>
          <w:tcPr>
            <w:tcW w:w="480" w:type="dxa"/>
            <w:vAlign w:val="center"/>
          </w:tcPr>
          <w:p>
            <w:pPr>
              <w:contextualSpacing/>
              <w:jc w:val="center"/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val="en-US" w:eastAsia="zh-CN"/>
              </w:rPr>
              <w:t>B</w:t>
            </w:r>
          </w:p>
          <w:p>
            <w:pPr>
              <w:contextualSpacing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类</w:t>
            </w:r>
          </w:p>
        </w:tc>
        <w:tc>
          <w:tcPr>
            <w:tcW w:w="1275" w:type="dxa"/>
            <w:vAlign w:val="center"/>
          </w:tcPr>
          <w:p>
            <w:pPr>
              <w:contextualSpacing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30m</w:t>
            </w:r>
            <w:r>
              <w:rPr>
                <w:rFonts w:hint="eastAsia" w:ascii="仿宋" w:hAnsi="仿宋" w:eastAsia="仿宋"/>
                <w:b/>
                <w:bCs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校内有产权商品房1套（须与学校签订培养协议）。</w:t>
            </w:r>
          </w:p>
        </w:tc>
        <w:tc>
          <w:tcPr>
            <w:tcW w:w="45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center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  <w:t>-</w:t>
            </w:r>
          </w:p>
        </w:tc>
        <w:tc>
          <w:tcPr>
            <w:tcW w:w="138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9"/>
              <w:spacing w:before="0" w:beforeAutospacing="0" w:after="0" w:afterAutospacing="0" w:line="300" w:lineRule="exact"/>
              <w:ind w:firstLine="0"/>
              <w:jc w:val="left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222" w:type="dxa"/>
            <w:vMerge w:val="continue"/>
          </w:tcPr>
          <w:p>
            <w:pPr>
              <w:pStyle w:val="9"/>
              <w:ind w:firstLine="0"/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44E4ECD"/>
    <w:rsid w:val="0C1D2791"/>
    <w:rsid w:val="23074ABB"/>
    <w:rsid w:val="3B8D5021"/>
    <w:rsid w:val="444E4ECD"/>
    <w:rsid w:val="4BE50AC4"/>
    <w:rsid w:val="4D5A63A0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2023-03-28T07:42:00Z</dcterms:created>
  <dc:creator>Administrator</dc:creator>
  <cp:lastModifiedBy>Administrator</cp:lastModifiedBy>
  <dcterms:modified xsi:type="dcterms:W3CDTF">2023-03-30T01:30:37Z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1A5F1897D50E417D99BE5D906CE87EEC</vt:lpwstr>
  </property>
</Properties>
</file>