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D9A29">
      <w:pPr>
        <w:jc w:val="left"/>
        <w:rPr>
          <w:rFonts w:ascii="Times New Roman" w:hAnsi="Times New Roman" w:eastAsia="黑体" w:cs="黑体"/>
          <w:color w:val="000000"/>
          <w:sz w:val="30"/>
          <w:szCs w:val="30"/>
        </w:rPr>
      </w:pPr>
      <w:bookmarkStart w:id="0" w:name="_GoBack"/>
      <w:r>
        <w:rPr>
          <w:rFonts w:hint="eastAsia" w:ascii="Times New Roman" w:hAnsi="Times New Roman" w:eastAsia="黑体" w:cs="黑体"/>
          <w:color w:val="000000"/>
          <w:sz w:val="30"/>
          <w:szCs w:val="30"/>
        </w:rPr>
        <w:t>附件1</w:t>
      </w:r>
    </w:p>
    <w:p w14:paraId="761D5EA6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西华大学优势学科“揭榜挂帅”人才引进项目榜单</w:t>
      </w:r>
    </w:p>
    <w:bookmarkEnd w:id="0"/>
    <w:p w14:paraId="6A03AB58">
      <w:pPr>
        <w:spacing w:line="500" w:lineRule="exact"/>
        <w:ind w:firstLine="640"/>
        <w:jc w:val="center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项目榜单1</w:t>
      </w:r>
    </w:p>
    <w:tbl>
      <w:tblPr>
        <w:tblStyle w:val="3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217"/>
      </w:tblGrid>
      <w:tr w14:paraId="1EBB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7" w:type="dxa"/>
            <w:vAlign w:val="center"/>
          </w:tcPr>
          <w:p w14:paraId="37C64173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需求单位</w:t>
            </w:r>
          </w:p>
        </w:tc>
        <w:tc>
          <w:tcPr>
            <w:tcW w:w="6217" w:type="dxa"/>
            <w:vAlign w:val="center"/>
          </w:tcPr>
          <w:p w14:paraId="53E6BD53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食品与生物工程学院</w:t>
            </w:r>
          </w:p>
        </w:tc>
      </w:tr>
      <w:tr w14:paraId="4F1C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97" w:type="dxa"/>
            <w:vAlign w:val="center"/>
          </w:tcPr>
          <w:p w14:paraId="2CFCE858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需求学科</w:t>
            </w:r>
          </w:p>
        </w:tc>
        <w:tc>
          <w:tcPr>
            <w:tcW w:w="6217" w:type="dxa"/>
            <w:vAlign w:val="center"/>
          </w:tcPr>
          <w:p w14:paraId="478D29A9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食品科学与工程</w:t>
            </w:r>
          </w:p>
        </w:tc>
      </w:tr>
      <w:tr w14:paraId="0A7C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2C1C427E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学科方向</w:t>
            </w:r>
          </w:p>
        </w:tc>
        <w:tc>
          <w:tcPr>
            <w:tcW w:w="6217" w:type="dxa"/>
            <w:vAlign w:val="center"/>
          </w:tcPr>
          <w:p w14:paraId="47065ACA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食品科学</w:t>
            </w:r>
          </w:p>
          <w:p w14:paraId="46F3044B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农产品加工与贮藏工程</w:t>
            </w:r>
          </w:p>
          <w:p w14:paraId="23738FD1">
            <w:pPr>
              <w:spacing w:line="440" w:lineRule="exact"/>
              <w:jc w:val="both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粮食、油脂及植物蛋白工程</w:t>
            </w:r>
          </w:p>
        </w:tc>
      </w:tr>
      <w:tr w14:paraId="341E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7" w:type="dxa"/>
            <w:vAlign w:val="center"/>
          </w:tcPr>
          <w:p w14:paraId="3B4883A1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需求人才类型</w:t>
            </w:r>
          </w:p>
        </w:tc>
        <w:tc>
          <w:tcPr>
            <w:tcW w:w="6217" w:type="dxa"/>
            <w:vAlign w:val="center"/>
          </w:tcPr>
          <w:p w14:paraId="070671E7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顶尖人才、领军人才、拔尖人才</w:t>
            </w:r>
          </w:p>
        </w:tc>
      </w:tr>
      <w:tr w14:paraId="6A84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97" w:type="dxa"/>
            <w:vAlign w:val="center"/>
          </w:tcPr>
          <w:p w14:paraId="54955E34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6217" w:type="dxa"/>
            <w:vAlign w:val="center"/>
          </w:tcPr>
          <w:p w14:paraId="7D251B04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任选上述学科方向引进1名即可揭榜</w:t>
            </w:r>
          </w:p>
        </w:tc>
      </w:tr>
      <w:tr w14:paraId="4FAF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54AD289F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相关要求</w:t>
            </w:r>
          </w:p>
        </w:tc>
        <w:tc>
          <w:tcPr>
            <w:tcW w:w="6217" w:type="dxa"/>
            <w:vAlign w:val="center"/>
          </w:tcPr>
          <w:p w14:paraId="0F517B9A">
            <w:pPr>
              <w:spacing w:line="440" w:lineRule="exact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1.需在2025年8月31日前符合上述人才类型且全职（含人事关系）引进到西华大学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；</w:t>
            </w:r>
          </w:p>
          <w:p w14:paraId="46F7B1B4">
            <w:pPr>
              <w:spacing w:line="440" w:lineRule="exact"/>
              <w:rPr>
                <w:rFonts w:ascii="Times New Roman" w:hAnsi="Times New Roman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2.顶尖人才年龄不限，领军人才年龄45—58岁，拔尖人才年龄45岁以下。</w:t>
            </w:r>
          </w:p>
        </w:tc>
      </w:tr>
      <w:tr w14:paraId="6DAC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747FCAC7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人才待遇和任务</w:t>
            </w:r>
          </w:p>
        </w:tc>
        <w:tc>
          <w:tcPr>
            <w:tcW w:w="6217" w:type="dxa"/>
            <w:vAlign w:val="center"/>
          </w:tcPr>
          <w:p w14:paraId="04D1A5D6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揭榜项目的人才引进待遇（年薪、安家费）在学校现有人才待遇的基础上上浮20%，科研启动费按“一人一议”的方式执行；任务由需求学院制定。</w:t>
            </w:r>
          </w:p>
        </w:tc>
      </w:tr>
      <w:tr w14:paraId="13D7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7" w:type="dxa"/>
            <w:vAlign w:val="center"/>
          </w:tcPr>
          <w:p w14:paraId="02397140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6217" w:type="dxa"/>
            <w:vAlign w:val="center"/>
          </w:tcPr>
          <w:p w14:paraId="2ED954FD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2025年8月31日</w:t>
            </w:r>
          </w:p>
        </w:tc>
      </w:tr>
      <w:tr w14:paraId="368C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6F5F24BF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揭榜奖励性绩效</w:t>
            </w:r>
          </w:p>
        </w:tc>
        <w:tc>
          <w:tcPr>
            <w:tcW w:w="6217" w:type="dxa"/>
            <w:vAlign w:val="center"/>
          </w:tcPr>
          <w:p w14:paraId="19FA3086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完成榜单任务后按被引进人才年薪的30%给予揭榜方一次性包干奖励。</w:t>
            </w:r>
          </w:p>
        </w:tc>
      </w:tr>
      <w:tr w14:paraId="1349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11078E64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项目考核形式</w:t>
            </w:r>
          </w:p>
        </w:tc>
        <w:tc>
          <w:tcPr>
            <w:tcW w:w="6217" w:type="dxa"/>
            <w:vAlign w:val="center"/>
          </w:tcPr>
          <w:p w14:paraId="5C096498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以引进人才与学校签订协议或先引进后达到榜单需求的人才类型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为结果进行考核。</w:t>
            </w:r>
          </w:p>
        </w:tc>
      </w:tr>
    </w:tbl>
    <w:p w14:paraId="45A6E3D8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0991745B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6E61653E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4F03DD47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0125CFA5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483DE372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项目榜单2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 w14:paraId="252E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3" w:type="dxa"/>
            <w:vAlign w:val="center"/>
          </w:tcPr>
          <w:p w14:paraId="0D5A43BA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需求单位</w:t>
            </w:r>
          </w:p>
        </w:tc>
        <w:tc>
          <w:tcPr>
            <w:tcW w:w="6033" w:type="dxa"/>
            <w:vAlign w:val="center"/>
          </w:tcPr>
          <w:p w14:paraId="35BE2A60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能源与动力工程学院</w:t>
            </w:r>
          </w:p>
        </w:tc>
      </w:tr>
      <w:tr w14:paraId="04D4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63" w:type="dxa"/>
            <w:vAlign w:val="center"/>
          </w:tcPr>
          <w:p w14:paraId="2EA26267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需求学科</w:t>
            </w:r>
          </w:p>
        </w:tc>
        <w:tc>
          <w:tcPr>
            <w:tcW w:w="6033" w:type="dxa"/>
            <w:vAlign w:val="center"/>
          </w:tcPr>
          <w:p w14:paraId="6F84F0D5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动力工程及工程热物理</w:t>
            </w:r>
          </w:p>
        </w:tc>
      </w:tr>
      <w:tr w14:paraId="4B00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7B15FACC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学科方向</w:t>
            </w:r>
          </w:p>
        </w:tc>
        <w:tc>
          <w:tcPr>
            <w:tcW w:w="6033" w:type="dxa"/>
            <w:vAlign w:val="center"/>
          </w:tcPr>
          <w:p w14:paraId="11275BC7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流体机械及工程</w:t>
            </w:r>
          </w:p>
          <w:p w14:paraId="0BBCD0FE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动力机械及工程</w:t>
            </w:r>
          </w:p>
          <w:p w14:paraId="25CE0BD4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化工过程机械</w:t>
            </w:r>
          </w:p>
          <w:p w14:paraId="18C68467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新能源科学与工程</w:t>
            </w:r>
          </w:p>
        </w:tc>
      </w:tr>
      <w:tr w14:paraId="7DA4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3" w:type="dxa"/>
            <w:vAlign w:val="center"/>
          </w:tcPr>
          <w:p w14:paraId="669E3D68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需求人才类型</w:t>
            </w:r>
          </w:p>
        </w:tc>
        <w:tc>
          <w:tcPr>
            <w:tcW w:w="6033" w:type="dxa"/>
            <w:vAlign w:val="center"/>
          </w:tcPr>
          <w:p w14:paraId="75F8072E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顶尖人才、领军人才、拔尖人才</w:t>
            </w:r>
          </w:p>
        </w:tc>
      </w:tr>
      <w:tr w14:paraId="2C18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3" w:type="dxa"/>
            <w:vAlign w:val="center"/>
          </w:tcPr>
          <w:p w14:paraId="4D045DE5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6033" w:type="dxa"/>
            <w:vAlign w:val="center"/>
          </w:tcPr>
          <w:p w14:paraId="47B573C0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任选上述学科方向引进1名即可揭榜</w:t>
            </w:r>
          </w:p>
        </w:tc>
      </w:tr>
      <w:tr w14:paraId="53AD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4F720957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相关要求</w:t>
            </w:r>
          </w:p>
        </w:tc>
        <w:tc>
          <w:tcPr>
            <w:tcW w:w="6033" w:type="dxa"/>
            <w:vAlign w:val="center"/>
          </w:tcPr>
          <w:p w14:paraId="16738C9C">
            <w:pPr>
              <w:spacing w:line="440" w:lineRule="exact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1.需在2025年8月31日前符合上述人才类型且全职（含人事关系）引进到西华大学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；</w:t>
            </w:r>
          </w:p>
          <w:p w14:paraId="39B0D05C">
            <w:pPr>
              <w:spacing w:line="440" w:lineRule="exac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2.顶尖人才年龄不限，领军人才年龄45—58岁，拔尖人才年龄45岁以下。</w:t>
            </w:r>
          </w:p>
        </w:tc>
      </w:tr>
      <w:tr w14:paraId="547C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28C55841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人才待遇和任务</w:t>
            </w:r>
          </w:p>
        </w:tc>
        <w:tc>
          <w:tcPr>
            <w:tcW w:w="6033" w:type="dxa"/>
            <w:vAlign w:val="center"/>
          </w:tcPr>
          <w:p w14:paraId="46C3C532">
            <w:pPr>
              <w:spacing w:line="440" w:lineRule="exac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揭榜项目的人才引进待遇（年薪、安家费）在学校现有人才待遇的基础上上浮20%，科研启动费按“一人一议”的方式执行；任务由需求学院制定。</w:t>
            </w:r>
          </w:p>
        </w:tc>
      </w:tr>
      <w:tr w14:paraId="3991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3" w:type="dxa"/>
            <w:vAlign w:val="center"/>
          </w:tcPr>
          <w:p w14:paraId="41567924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6033" w:type="dxa"/>
            <w:vAlign w:val="center"/>
          </w:tcPr>
          <w:p w14:paraId="0882C1B8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2025年8月31日</w:t>
            </w:r>
          </w:p>
        </w:tc>
      </w:tr>
      <w:tr w14:paraId="7A16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2B77EF57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揭榜奖励性绩效</w:t>
            </w:r>
          </w:p>
        </w:tc>
        <w:tc>
          <w:tcPr>
            <w:tcW w:w="6033" w:type="dxa"/>
            <w:vAlign w:val="center"/>
          </w:tcPr>
          <w:p w14:paraId="11522F48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完成榜单任务后按被引进人才年薪的30%给予揭榜方一次性包干奖励。</w:t>
            </w:r>
          </w:p>
        </w:tc>
      </w:tr>
      <w:tr w14:paraId="50E8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04353E7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项目考核形式</w:t>
            </w:r>
          </w:p>
        </w:tc>
        <w:tc>
          <w:tcPr>
            <w:tcW w:w="6033" w:type="dxa"/>
            <w:vAlign w:val="center"/>
          </w:tcPr>
          <w:p w14:paraId="3A58412B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以引进人才与学校签订协议或先引进后达到榜单需求的人才类型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为结果进行考核。</w:t>
            </w:r>
          </w:p>
        </w:tc>
      </w:tr>
    </w:tbl>
    <w:p w14:paraId="6C236866">
      <w:pPr>
        <w:spacing w:line="500" w:lineRule="exact"/>
        <w:ind w:firstLine="560"/>
        <w:rPr>
          <w:rFonts w:ascii="Times New Roman" w:hAnsi="Times New Roman" w:cstheme="minorEastAsia"/>
          <w:sz w:val="28"/>
          <w:szCs w:val="28"/>
        </w:rPr>
        <w:sectPr>
          <w:pgSz w:w="11906" w:h="16838"/>
          <w:pgMar w:top="1134" w:right="1800" w:bottom="1134" w:left="1800" w:header="851" w:footer="992" w:gutter="0"/>
          <w:cols w:space="0" w:num="1"/>
          <w:docGrid w:type="lines" w:linePitch="312" w:charSpace="0"/>
        </w:sectPr>
      </w:pPr>
    </w:p>
    <w:p w14:paraId="1CD43D71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项目榜单3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121"/>
      </w:tblGrid>
      <w:tr w14:paraId="6B2E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01" w:type="dxa"/>
            <w:vAlign w:val="center"/>
          </w:tcPr>
          <w:p w14:paraId="02DDCB0F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需求单位</w:t>
            </w:r>
          </w:p>
        </w:tc>
        <w:tc>
          <w:tcPr>
            <w:tcW w:w="6121" w:type="dxa"/>
            <w:vAlign w:val="center"/>
          </w:tcPr>
          <w:p w14:paraId="2E621659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机械工程学院</w:t>
            </w:r>
          </w:p>
        </w:tc>
      </w:tr>
      <w:tr w14:paraId="7194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1" w:type="dxa"/>
            <w:vAlign w:val="center"/>
          </w:tcPr>
          <w:p w14:paraId="264079D9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需求学科</w:t>
            </w:r>
          </w:p>
        </w:tc>
        <w:tc>
          <w:tcPr>
            <w:tcW w:w="6121" w:type="dxa"/>
            <w:vAlign w:val="center"/>
          </w:tcPr>
          <w:p w14:paraId="3E1060C4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机械工程</w:t>
            </w:r>
          </w:p>
        </w:tc>
      </w:tr>
      <w:tr w14:paraId="785B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77F41268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学科方向</w:t>
            </w:r>
          </w:p>
        </w:tc>
        <w:tc>
          <w:tcPr>
            <w:tcW w:w="6121" w:type="dxa"/>
            <w:vAlign w:val="center"/>
          </w:tcPr>
          <w:p w14:paraId="6AC651CD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机械制造及其自动化</w:t>
            </w:r>
          </w:p>
          <w:p w14:paraId="0897FA39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机械电子工程</w:t>
            </w:r>
          </w:p>
          <w:p w14:paraId="46CC07B3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车辆工程</w:t>
            </w:r>
          </w:p>
          <w:p w14:paraId="535A5035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机械设计及理论</w:t>
            </w:r>
          </w:p>
        </w:tc>
      </w:tr>
      <w:tr w14:paraId="3188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01" w:type="dxa"/>
            <w:vAlign w:val="center"/>
          </w:tcPr>
          <w:p w14:paraId="2B2076E3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需求人才类型</w:t>
            </w:r>
          </w:p>
        </w:tc>
        <w:tc>
          <w:tcPr>
            <w:tcW w:w="6121" w:type="dxa"/>
            <w:vAlign w:val="center"/>
          </w:tcPr>
          <w:p w14:paraId="0DA9671D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顶尖人才、领军人才、拔尖人才</w:t>
            </w:r>
          </w:p>
        </w:tc>
      </w:tr>
      <w:tr w14:paraId="0B35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1" w:type="dxa"/>
            <w:vAlign w:val="center"/>
          </w:tcPr>
          <w:p w14:paraId="19C4013A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6121" w:type="dxa"/>
            <w:vAlign w:val="center"/>
          </w:tcPr>
          <w:p w14:paraId="56B216C2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任选上述学科方向引进1名即可揭榜</w:t>
            </w:r>
          </w:p>
        </w:tc>
      </w:tr>
      <w:tr w14:paraId="55DB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145BBE6F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相关要求</w:t>
            </w:r>
          </w:p>
        </w:tc>
        <w:tc>
          <w:tcPr>
            <w:tcW w:w="6121" w:type="dxa"/>
            <w:vAlign w:val="center"/>
          </w:tcPr>
          <w:p w14:paraId="130695F1">
            <w:pPr>
              <w:spacing w:line="440" w:lineRule="exact"/>
              <w:jc w:val="both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1.需在2025年8月31日前符合上述人才类型且全职（含人事关系）引进到西华大学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；</w:t>
            </w:r>
          </w:p>
          <w:p w14:paraId="0ECA2360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2.顶尖人才年龄不限，领军人才年龄45—58岁，拔尖人才年龄45岁以下。</w:t>
            </w:r>
          </w:p>
        </w:tc>
      </w:tr>
      <w:tr w14:paraId="3AF0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66846F87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人才待遇和任务</w:t>
            </w:r>
          </w:p>
        </w:tc>
        <w:tc>
          <w:tcPr>
            <w:tcW w:w="6121" w:type="dxa"/>
            <w:vAlign w:val="center"/>
          </w:tcPr>
          <w:p w14:paraId="24CA8858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揭榜项目的人才引进待遇（年薪、安家费）在学校现有人才待遇的基础上上浮20%，科研启动费按“一人一议”的方式执行；任务由需求学院制定。</w:t>
            </w:r>
          </w:p>
        </w:tc>
      </w:tr>
      <w:tr w14:paraId="6960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1" w:type="dxa"/>
            <w:vAlign w:val="center"/>
          </w:tcPr>
          <w:p w14:paraId="4DC5BE98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6121" w:type="dxa"/>
            <w:vAlign w:val="center"/>
          </w:tcPr>
          <w:p w14:paraId="6BC9ECC1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2025年8月31日</w:t>
            </w:r>
          </w:p>
        </w:tc>
      </w:tr>
      <w:tr w14:paraId="5B3D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1384242B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揭榜奖励性绩效</w:t>
            </w:r>
          </w:p>
        </w:tc>
        <w:tc>
          <w:tcPr>
            <w:tcW w:w="6121" w:type="dxa"/>
            <w:vAlign w:val="center"/>
          </w:tcPr>
          <w:p w14:paraId="00CB202D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完成榜单任务后按被引进人才年薪的30%给予揭榜方一次性包干奖励。</w:t>
            </w:r>
          </w:p>
        </w:tc>
      </w:tr>
      <w:tr w14:paraId="2071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37925158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项目考核形式</w:t>
            </w:r>
          </w:p>
        </w:tc>
        <w:tc>
          <w:tcPr>
            <w:tcW w:w="6121" w:type="dxa"/>
            <w:vAlign w:val="center"/>
          </w:tcPr>
          <w:p w14:paraId="652508DC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以引进人才与学校签订协议或先引进后达到榜单需求的人才类型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为结果进行考核。</w:t>
            </w:r>
          </w:p>
        </w:tc>
      </w:tr>
    </w:tbl>
    <w:p w14:paraId="2F9B6A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DRkMTIxMjFlY2Y4YWViYTgyOWQ4MjhlMjM2ZDEifQ=="/>
  </w:docVars>
  <w:rsids>
    <w:rsidRoot w:val="1A5802BA"/>
    <w:rsid w:val="1A5802BA"/>
    <w:rsid w:val="781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1096</Characters>
  <Lines>0</Lines>
  <Paragraphs>0</Paragraphs>
  <TotalTime>0</TotalTime>
  <ScaleCrop>false</ScaleCrop>
  <LinksUpToDate>false</LinksUpToDate>
  <CharactersWithSpaces>1096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2024-06-18T09:01:00Z</dcterms:created>
  <dc:creator>56547</dc:creator>
  <cp:lastModifiedBy>高才汇</cp:lastModifiedBy>
  <dcterms:modified xsi:type="dcterms:W3CDTF">2024-06-26T01:47:33Z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637F14B8BB814066983AD0C3165566D6_13</vt:lpwstr>
  </property>
</Properties>
</file>